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3496945</wp:posOffset>
                </wp:positionH>
                <wp:positionV relativeFrom="page">
                  <wp:posOffset>605155</wp:posOffset>
                </wp:positionV>
                <wp:extent cx="716280" cy="845185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628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275.35pt;mso-position-horizontal:absolute;mso-position-vertical-relative:page;margin-top:47.65pt;mso-position-vertical:absolute;width:56.40pt;height:66.5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t xml:space="preserve">П</w:t>
      </w:r>
      <w:r>
        <w:t xml:space="preserve">роект</w:t>
      </w:r>
      <w:r/>
    </w:p>
    <w:p>
      <w:pPr>
        <w:pStyle w:val="862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1673225</wp:posOffset>
                </wp:positionV>
                <wp:extent cx="7565390" cy="13233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8" cy="1323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ЕВРЕЙСКОЙ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АВТОНОМНОЙ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ОБЛАСТИ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862"/>
                              <w:jc w:val="center"/>
                              <w:rPr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8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pacing w:val="28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spacing w:val="28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862"/>
                              <w:jc w:val="center"/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ПОСТАНОВЛЕНИЕ</w:t>
                            </w: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b/>
                                <w:spacing w:val="4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szCs w:val="28"/>
                              </w:rPr>
                            </w:r>
                            <w:r>
                              <w:rPr>
                                <w:b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spacing w:before="20"/>
                              <w:tabs>
                                <w:tab w:val="left" w:pos="13467" w:leader="none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6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page;margin-left:0.30pt;mso-position-horizontal:absolute;mso-position-vertical-relative:page;margin-top:131.75pt;mso-position-vertical:absolute;width:595.70pt;height:104.20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pStyle w:val="862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ЕВРЕЙСКОЙ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АВТОНОМНОЙ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ОБЛАСТИ</w:t>
                      </w: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862"/>
                        <w:jc w:val="center"/>
                        <w:rPr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spacing w:val="28"/>
                          <w:sz w:val="18"/>
                          <w:szCs w:val="18"/>
                        </w:rPr>
                      </w:r>
                      <w:r>
                        <w:rPr>
                          <w:spacing w:val="28"/>
                          <w:sz w:val="18"/>
                          <w:szCs w:val="18"/>
                        </w:rPr>
                      </w:r>
                      <w:r>
                        <w:rPr>
                          <w:spacing w:val="28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862"/>
                        <w:jc w:val="center"/>
                        <w:rPr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  <w:t xml:space="preserve">ПОСТАНОВЛЕНИЕ</w:t>
                      </w: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</w:r>
                      <w:r>
                        <w:rPr>
                          <w:b/>
                          <w:spacing w:val="4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862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  <w:lang w:val="en-US"/>
                        </w:rPr>
                        <w:t xml:space="preserve">                       </w:t>
                      </w:r>
                      <w:r>
                        <w:rPr>
                          <w:b/>
                          <w:szCs w:val="28"/>
                        </w:rPr>
                      </w:r>
                      <w:r>
                        <w:rPr>
                          <w:b/>
                          <w:szCs w:val="28"/>
                        </w:rPr>
                      </w:r>
                    </w:p>
                    <w:p>
                      <w:pPr>
                        <w:pStyle w:val="862"/>
                        <w:spacing w:before="20"/>
                        <w:tabs>
                          <w:tab w:val="left" w:pos="13467" w:leader="none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sz w:val="24"/>
                        </w:rPr>
                        <w:t xml:space="preserve">№ </w:t>
                      </w:r>
                      <w:r>
                        <w:rPr>
                          <w:sz w:val="20"/>
                          <w:szCs w:val="20"/>
                        </w:rPr>
                        <w:t xml:space="preserve">_____</w:t>
                      </w:r>
                      <w:r>
                        <w:rPr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sz w:val="20"/>
                          <w:szCs w:val="20"/>
                        </w:rPr>
                        <w:t xml:space="preserve">__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6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г. Биробиджан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62"/>
                        <w:rPr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    ¬</w:t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62"/>
                      </w:pPr>
                      <w:r/>
                      <w:r/>
                    </w:p>
                    <w:p>
                      <w:pPr>
                        <w:pStyle w:val="86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О внесении дополнений </w:t>
      </w:r>
      <w:r>
        <w:t xml:space="preserve">в </w:t>
      </w:r>
      <w:r>
        <w:t xml:space="preserve">постановление правительства Еврейской автономной области от 02.11.2023 № 457-пп</w:t>
      </w:r>
      <w:r>
        <w:t xml:space="preserve"> «Об </w:t>
      </w:r>
      <w:r>
        <w:t xml:space="preserve">обеспечении отдельных категорий граждан лекарственными </w:t>
      </w:r>
      <w:r>
        <w:t xml:space="preserve">средствами, препаратами и (или) изделиями медицинского назначения</w:t>
      </w:r>
      <w:r>
        <w:t xml:space="preserve">»</w:t>
      </w:r>
      <w:r/>
    </w:p>
    <w:p>
      <w:r/>
      <w:r/>
    </w:p>
    <w:p>
      <w:r/>
      <w:r/>
    </w:p>
    <w:p>
      <w:pPr>
        <w:pStyle w:val="862"/>
        <w:ind w:left="0" w:right="0" w:firstLine="709"/>
        <w:jc w:val="both"/>
      </w:pPr>
      <w:r>
        <w:t xml:space="preserve">В соответствии с законом Еврейской автономной области от 18.07.2012 № 122-ОЗ «Об отдельных вопросах охраны здоровья граждан» </w:t>
      </w:r>
      <w:r>
        <w:t xml:space="preserve"> </w:t>
      </w:r>
      <w:r>
        <w:rPr>
          <w:szCs w:val="28"/>
        </w:rPr>
        <w:t xml:space="preserve">правительство Еврейской автономной области </w:t>
      </w:r>
      <w:r/>
    </w:p>
    <w:p>
      <w:pPr>
        <w:pStyle w:val="862"/>
        <w:jc w:val="both"/>
        <w:rPr>
          <w:szCs w:val="28"/>
        </w:rPr>
      </w:pPr>
      <w:r>
        <w:rPr>
          <w:szCs w:val="28"/>
        </w:rPr>
        <w:t xml:space="preserve">ПОСТАНОВЛЯЕТ: </w:t>
      </w:r>
      <w:r>
        <w:rPr>
          <w:szCs w:val="28"/>
        </w:rPr>
      </w:r>
      <w:r>
        <w:rPr>
          <w:szCs w:val="28"/>
        </w:rPr>
      </w:r>
    </w:p>
    <w:p>
      <w:pPr>
        <w:pStyle w:val="862"/>
        <w:ind w:firstLine="709"/>
        <w:jc w:val="both"/>
      </w:pPr>
      <w:r>
        <w:t xml:space="preserve">1. Внести в</w:t>
      </w:r>
      <w:r>
        <w:t xml:space="preserve"> постановление правительства Еврейской автономной области от 02.11.2023 № 457-пп</w:t>
      </w:r>
      <w:r>
        <w:t xml:space="preserve"> «Об </w:t>
      </w:r>
      <w:r>
        <w:t xml:space="preserve">обеспечении отдельных категорий граждан лекарственными </w:t>
      </w:r>
      <w:r>
        <w:t xml:space="preserve">средствами, препаратами и (или) изделиями медицинского назначения</w:t>
      </w:r>
      <w:r>
        <w:t xml:space="preserve">»</w:t>
      </w:r>
      <w:r>
        <w:t xml:space="preserve"> следующие дополнения: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1.1. Пункт 3, 4 и 5 изложить в следующей редакции, изменив последующую нумерацию пунктов.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firstLine="709"/>
        <w:jc w:val="both"/>
        <w:rPr>
          <w:highlight w:val="none"/>
          <w:vertAlign w:val="baseline"/>
          <w:lang w:val="ru-RU"/>
        </w:rPr>
      </w:pPr>
      <w:r>
        <w:rPr>
          <w:highlight w:val="none"/>
          <w:lang w:val="ru-RU"/>
        </w:rPr>
        <w:t xml:space="preserve">«3. Определить Государственное предприятие Еврейской автономной области «Фармация» в качестве единственного поставщика (исполнителя)</w:t>
      </w:r>
      <w:r>
        <w:rPr>
          <w:highlight w:val="none"/>
          <w:lang w:val="ru-RU"/>
        </w:rPr>
        <w:t xml:space="preserve">осуществляющего за счет всех источников финансирования полномочия по</w:t>
      </w:r>
      <w:r>
        <w:rPr>
          <w:highlight w:val="none"/>
          <w:lang w:val="ru-RU"/>
        </w:rPr>
        <w:t xml:space="preserve"> предоставлению услуг, предусмотренных пунктами 1,3,4 части 1 статьи 10</w:t>
      </w:r>
      <w:r>
        <w:rPr>
          <w:highlight w:val="none"/>
          <w:vertAlign w:val="superscript"/>
          <w:lang w:val="ru-RU"/>
        </w:rPr>
        <w:t xml:space="preserve">3 </w:t>
      </w:r>
      <w:r>
        <w:rPr>
          <w:highlight w:val="none"/>
          <w:vertAlign w:val="baseline"/>
          <w:lang w:val="ru-RU"/>
        </w:rPr>
        <w:t xml:space="preserve">закона Еврейской автономной области </w:t>
      </w:r>
      <w:r>
        <w:t xml:space="preserve">от 18.07.2012 № 122-ОЗ «Об отдельных вопросах охраны здоровья граждан» (далее – Услуга)</w:t>
      </w:r>
      <w:r>
        <w:rPr>
          <w:highlight w:val="none"/>
          <w:vertAlign w:val="baseline"/>
          <w:lang w:val="ru-RU"/>
        </w:rPr>
        <w:t xml:space="preserve">.</w:t>
      </w:r>
      <w:r>
        <w:rPr>
          <w:highlight w:val="none"/>
          <w:vertAlign w:val="baseline"/>
        </w:rPr>
      </w:r>
      <w:r>
        <w:rPr>
          <w:highlight w:val="none"/>
          <w:vertAlign w:val="baseline"/>
          <w:lang w:val="ru-RU"/>
        </w:rPr>
      </w:r>
    </w:p>
    <w:p>
      <w:pPr>
        <w:ind w:firstLine="709"/>
        <w:jc w:val="both"/>
        <w:rPr>
          <w:highlight w:val="none"/>
          <w:vertAlign w:val="baseline"/>
        </w:rPr>
      </w:pPr>
      <w:r>
        <w:rPr>
          <w:highlight w:val="none"/>
          <w:vertAlign w:val="baseline"/>
          <w:lang w:val="ru-RU"/>
        </w:rPr>
        <w:t xml:space="preserve">4.</w:t>
      </w:r>
      <w:r>
        <w:rPr>
          <w:highlight w:val="none"/>
          <w:vertAlign w:val="baseline"/>
          <w:lang w:val="ru-RU"/>
        </w:rPr>
        <w:t xml:space="preserve"> Де</w:t>
      </w:r>
      <w:r>
        <w:rPr>
          <w:highlight w:val="none"/>
          <w:vertAlign w:val="baseline"/>
          <w:lang w:val="ru-RU"/>
        </w:rPr>
        <w:t xml:space="preserve">партамент здравоохранения правительства Еврейской автономной области ежегодно в срок до 30 декабря текущего года обеспечивает принятие распоряжения правительства Еврейской автономной области об утверждении предельного уровня накладных расходов на выполнени</w:t>
      </w:r>
      <w:r>
        <w:rPr>
          <w:highlight w:val="none"/>
          <w:vertAlign w:val="baseline"/>
          <w:lang w:val="ru-RU"/>
        </w:rPr>
        <w:t xml:space="preserve">е</w:t>
      </w:r>
      <w:r>
        <w:rPr>
          <w:highlight w:val="none"/>
          <w:vertAlign w:val="baseline"/>
          <w:lang w:val="ru-RU"/>
        </w:rPr>
        <w:t xml:space="preserve"> полномочий единственного поставщика (исполнителя), связанных с обеспечением процедур хранения, доставки и отпуска лекарственных препаратов, медицинских изделий (за исключением оборудования и комплектующих к нему), специализированных продуктов лечебного пи</w:t>
      </w:r>
      <w:r>
        <w:rPr>
          <w:highlight w:val="none"/>
          <w:vertAlign w:val="baseline"/>
          <w:lang w:val="ru-RU"/>
        </w:rPr>
        <w:t xml:space="preserve">т</w:t>
      </w:r>
      <w:r>
        <w:rPr>
          <w:highlight w:val="none"/>
          <w:vertAlign w:val="baseline"/>
          <w:lang w:val="ru-RU"/>
        </w:rPr>
        <w:t xml:space="preserve">ания, продуктов для полноценного питания беременных женщин, кормящих матерей и детей в возрасте до трех лет, семьи которых имеют доходы ниже прожиточного минимума, проживающих на территории Еврейской автономной области, на очередной финансовый год, которое</w:t>
      </w:r>
      <w:r>
        <w:rPr>
          <w:highlight w:val="none"/>
          <w:vertAlign w:val="baseline"/>
          <w:lang w:val="ru-RU"/>
        </w:rPr>
        <w:t xml:space="preserve"> предварительно согласовывается с комитетом тарифов и цен правительства Еврейской автономной области в срок не более 15 рабочих дней.</w:t>
      </w:r>
      <w:r>
        <w:rPr>
          <w:highlight w:val="none"/>
          <w:vertAlign w:val="baseline"/>
          <w:lang w:val="ru-RU"/>
        </w:rPr>
      </w:r>
      <w:r>
        <w:rPr>
          <w:highlight w:val="none"/>
          <w:vertAlign w:val="baseline"/>
        </w:rPr>
      </w:r>
    </w:p>
    <w:p>
      <w:pPr>
        <w:ind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5.</w:t>
      </w:r>
      <w:r>
        <w:rPr>
          <w:highlight w:val="none"/>
          <w:lang w:val="ru-RU"/>
        </w:rPr>
        <w:t xml:space="preserve"> Государственное предприятие Еврейской автономной области «Фармация»</w:t>
      </w:r>
      <w:r>
        <w:rPr>
          <w:highlight w:val="none"/>
          <w:lang w:val="ru-RU"/>
        </w:rPr>
        <w:t xml:space="preserve">: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firstLine="709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5.1. Заключает с департаментом </w:t>
      </w:r>
      <w:r>
        <w:rPr>
          <w:highlight w:val="none"/>
          <w:lang w:val="ru-RU"/>
        </w:rPr>
        <w:t xml:space="preserve">здравоохранения правительства Еврейской автономной области контракты на оказание Услуги с учетом предельного уровня накладных расходов, указанных в пункте 4 настоящего постановления правительства</w:t>
      </w:r>
      <w:r>
        <w:rPr>
          <w:highlight w:val="none"/>
          <w:lang w:val="ru-RU"/>
        </w:rPr>
        <w:t xml:space="preserve">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0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Обеспечивает хранение лекарственных препаратов, медицинских изделий (за исключением оборудования и комплектующих к нему), специализированных продуктов лечебного питания, продуктов для полноценного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питания бер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еменных женщин, кормящих матерей и детей        в возрасте до трех лет, семьи которых имеют доходы ниже прожиточного минимума, проживающих на территории Еврейской автономной области,     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90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Осуществляет доставку лекарственных препаратов, медицинских изделий (за исключением оборудования и комплектующих к нему), специализированных продуктов лечебного питания, продуктов для полно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ценного пита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ния беременных женщин, кормящих матерей и детей        в возрасте до трех лет, семьи которых имеют доходы ниже прожиточного минимума, проживающих на территории Еврейской автономной области,      в аптечные и медицинские  организации в установленном порядке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90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Осуществляет отпуск лекарственных препаратов, ме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дицинск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их  изделий, специализированных продуктов лечебного питания, продуктов для полноценного питания беременных женщин, кормящих матерей и детей        в возрасте до трех лет, семьи которых имеют доходы ниже прожиточного минимума, проживающих на территории Евре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йской автономной области, гражданам, имеющим право на бесплатное и льготное обеспечение лекарственными препаратами, медицинскими изделиями, специализированными продуктами лечебного питания, продуктами для полноценного питания беременных женщин, кормящих ма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терей и де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тей        в возрасте до трех лет, семьи которых имеют доходы ниже прожиточного минимума, проживающих на территории Еврейской автономной области,    по рецептам через аптечные организации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</w:r>
    </w:p>
    <w:p>
      <w:pPr>
        <w:pStyle w:val="90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Обеспечивает учет и сохранность документов, связанных с предоставлением Услуги.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4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2. Признать утратившими силу следующие постановления правительства Еврейской автономной области: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4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24.05.2018 № 184-пп «Об утверждении порядка организации обеспечения лекарственными препаратами, медицинскими изделиями, специализированными продуктами лечебного питания в Еврейской автономной области»;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4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 19.12.2019 № 474-пп «О внесении изменений в Порядок организации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обеспечения лекарственными препаратами, медицинскими изделиями, специализированными продуктами лечебного питания в Еврейской автономной области</w:t>
      </w:r>
      <w:r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утвержденный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постановлением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от 24.05.2018 № 184-пп»;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4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 25.02.2021 № 44-пп «О внесении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изменения в Порядок организации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обеспечения лекарственными препаратами, медицинскими изделиями, специализированными продуктами лечебного питания в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утвержденный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постановлением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от 24.05.2018 № 184-пп»</w:t>
      </w:r>
      <w:r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904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От 30.06.2022 № 277-пп «О внесении изменений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 Порядок организации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обеспечения лекарственными препаратами, медицинскими изделиями, специализированными продуктами лечебного питания в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утвержденный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постановлением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от 24.05.2018 № 184-пп»</w:t>
      </w:r>
      <w:r/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  <w:t xml:space="preserve">3.</w:t>
      </w:r>
      <w:r>
        <w:rPr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через 10 дней после дня его </w:t>
      </w:r>
      <w:r>
        <w:rPr>
          <w:szCs w:val="28"/>
        </w:rPr>
        <w:t xml:space="preserve">официального </w:t>
      </w:r>
      <w:r>
        <w:rPr>
          <w:szCs w:val="28"/>
        </w:rPr>
        <w:t xml:space="preserve">опубликования.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jc w:val="both"/>
      </w:pPr>
      <w:r/>
      <w:r/>
    </w:p>
    <w:p>
      <w:pPr>
        <w:pStyle w:val="862"/>
        <w:ind w:firstLine="709"/>
        <w:jc w:val="both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sz w:val="24"/>
      </w:rPr>
    </w:r>
    <w:r>
      <w:rPr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rPr>
      <w:rFonts w:ascii="Times New Roman" w:hAnsi="Times New Roman"/>
      <w:sz w:val="28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78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864">
    <w:name w:val="Заголовок 2"/>
    <w:basedOn w:val="862"/>
    <w:next w:val="862"/>
    <w:link w:val="879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865">
    <w:name w:val="Заголовок 3"/>
    <w:basedOn w:val="862"/>
    <w:next w:val="862"/>
    <w:link w:val="88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866">
    <w:name w:val="Заголовок 4"/>
    <w:basedOn w:val="862"/>
    <w:next w:val="862"/>
    <w:link w:val="881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7">
    <w:name w:val="Заголовок 5"/>
    <w:basedOn w:val="862"/>
    <w:next w:val="862"/>
    <w:link w:val="882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68">
    <w:name w:val="Заголовок 6"/>
    <w:basedOn w:val="862"/>
    <w:next w:val="862"/>
    <w:link w:val="883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69">
    <w:name w:val="Заголовок 7"/>
    <w:basedOn w:val="862"/>
    <w:next w:val="862"/>
    <w:link w:val="884"/>
    <w:uiPriority w:val="9"/>
    <w:semiHidden/>
    <w:unhideWhenUsed/>
    <w:qFormat/>
    <w:pPr>
      <w:spacing w:before="240" w:after="60"/>
      <w:outlineLvl w:val="6"/>
    </w:pPr>
  </w:style>
  <w:style w:type="paragraph" w:styleId="870">
    <w:name w:val="Заголовок 8"/>
    <w:basedOn w:val="862"/>
    <w:next w:val="862"/>
    <w:link w:val="885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871">
    <w:name w:val="Заголовок 9"/>
    <w:basedOn w:val="862"/>
    <w:next w:val="862"/>
    <w:link w:val="886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872">
    <w:name w:val="Основной шрифт абзаца"/>
    <w:next w:val="872"/>
    <w:link w:val="862"/>
    <w:uiPriority w:val="1"/>
    <w:semiHidden/>
    <w:unhideWhenUsed/>
  </w:style>
  <w:style w:type="table" w:styleId="873">
    <w:name w:val="Обычная таблица"/>
    <w:next w:val="873"/>
    <w:link w:val="862"/>
    <w:uiPriority w:val="99"/>
    <w:semiHidden/>
    <w:unhideWhenUsed/>
    <w:tblPr/>
  </w:style>
  <w:style w:type="numbering" w:styleId="874">
    <w:name w:val="Нет списка"/>
    <w:next w:val="874"/>
    <w:link w:val="862"/>
    <w:uiPriority w:val="99"/>
    <w:semiHidden/>
    <w:unhideWhenUsed/>
  </w:style>
  <w:style w:type="paragraph" w:styleId="875">
    <w:name w:val="Текст выноски"/>
    <w:basedOn w:val="862"/>
    <w:next w:val="875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>
    <w:name w:val="Текст выноски Знак"/>
    <w:next w:val="876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Без интервала"/>
    <w:basedOn w:val="862"/>
    <w:next w:val="877"/>
    <w:link w:val="862"/>
    <w:uiPriority w:val="1"/>
    <w:qFormat/>
    <w:rPr>
      <w:szCs w:val="32"/>
    </w:rPr>
  </w:style>
  <w:style w:type="character" w:styleId="878">
    <w:name w:val="Заголовок 1 Знак"/>
    <w:next w:val="878"/>
    <w:link w:val="863"/>
    <w:uiPriority w:val="9"/>
    <w:rPr>
      <w:rFonts w:ascii="Cambria" w:hAnsi="Cambria" w:eastAsia="Times New Roman"/>
      <w:b/>
      <w:bCs/>
      <w:sz w:val="32"/>
      <w:szCs w:val="32"/>
    </w:rPr>
  </w:style>
  <w:style w:type="character" w:styleId="879">
    <w:name w:val="Заголовок 2 Знак"/>
    <w:next w:val="879"/>
    <w:link w:val="864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880">
    <w:name w:val="Заголовок 3 Знак"/>
    <w:next w:val="880"/>
    <w:link w:val="865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881">
    <w:name w:val="Заголовок 4 Знак"/>
    <w:next w:val="881"/>
    <w:link w:val="866"/>
    <w:uiPriority w:val="9"/>
    <w:semiHidden/>
    <w:rPr>
      <w:b/>
      <w:bCs/>
      <w:sz w:val="28"/>
      <w:szCs w:val="28"/>
    </w:rPr>
  </w:style>
  <w:style w:type="character" w:styleId="882">
    <w:name w:val="Заголовок 5 Знак"/>
    <w:next w:val="882"/>
    <w:link w:val="867"/>
    <w:uiPriority w:val="9"/>
    <w:semiHidden/>
    <w:rPr>
      <w:b/>
      <w:bCs/>
      <w:i/>
      <w:iCs/>
      <w:sz w:val="26"/>
      <w:szCs w:val="26"/>
    </w:rPr>
  </w:style>
  <w:style w:type="character" w:styleId="883">
    <w:name w:val="Заголовок 6 Знак"/>
    <w:next w:val="883"/>
    <w:link w:val="868"/>
    <w:uiPriority w:val="9"/>
    <w:semiHidden/>
    <w:rPr>
      <w:b/>
      <w:bCs/>
    </w:rPr>
  </w:style>
  <w:style w:type="character" w:styleId="884">
    <w:name w:val="Заголовок 7 Знак"/>
    <w:next w:val="884"/>
    <w:link w:val="869"/>
    <w:uiPriority w:val="9"/>
    <w:semiHidden/>
    <w:rPr>
      <w:sz w:val="24"/>
      <w:szCs w:val="24"/>
    </w:rPr>
  </w:style>
  <w:style w:type="character" w:styleId="885">
    <w:name w:val="Заголовок 8 Знак"/>
    <w:next w:val="885"/>
    <w:link w:val="870"/>
    <w:uiPriority w:val="9"/>
    <w:semiHidden/>
    <w:rPr>
      <w:i/>
      <w:iCs/>
      <w:sz w:val="24"/>
      <w:szCs w:val="24"/>
    </w:rPr>
  </w:style>
  <w:style w:type="character" w:styleId="886">
    <w:name w:val="Заголовок 9 Знак"/>
    <w:next w:val="886"/>
    <w:link w:val="871"/>
    <w:uiPriority w:val="9"/>
    <w:semiHidden/>
    <w:rPr>
      <w:rFonts w:ascii="Cambria" w:hAnsi="Cambria" w:eastAsia="Times New Roman"/>
    </w:rPr>
  </w:style>
  <w:style w:type="paragraph" w:styleId="887">
    <w:name w:val="Название"/>
    <w:basedOn w:val="862"/>
    <w:next w:val="862"/>
    <w:link w:val="888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888">
    <w:name w:val="Название Знак"/>
    <w:next w:val="888"/>
    <w:link w:val="887"/>
    <w:uiPriority w:val="10"/>
    <w:rPr>
      <w:rFonts w:ascii="Cambria" w:hAnsi="Cambria" w:eastAsia="Times New Roman"/>
      <w:b/>
      <w:bCs/>
      <w:sz w:val="32"/>
      <w:szCs w:val="32"/>
    </w:rPr>
  </w:style>
  <w:style w:type="paragraph" w:styleId="889">
    <w:name w:val="Подзаголовок"/>
    <w:basedOn w:val="862"/>
    <w:next w:val="862"/>
    <w:link w:val="890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890">
    <w:name w:val="Подзаголовок Знак"/>
    <w:next w:val="890"/>
    <w:link w:val="889"/>
    <w:uiPriority w:val="11"/>
    <w:rPr>
      <w:rFonts w:ascii="Cambria" w:hAnsi="Cambria" w:eastAsia="Times New Roman"/>
      <w:sz w:val="24"/>
      <w:szCs w:val="24"/>
    </w:rPr>
  </w:style>
  <w:style w:type="character" w:styleId="891">
    <w:name w:val="Строгий"/>
    <w:next w:val="891"/>
    <w:link w:val="862"/>
    <w:uiPriority w:val="22"/>
    <w:qFormat/>
    <w:rPr>
      <w:b/>
      <w:bCs/>
    </w:rPr>
  </w:style>
  <w:style w:type="character" w:styleId="892">
    <w:name w:val="Выделение"/>
    <w:next w:val="892"/>
    <w:link w:val="862"/>
    <w:uiPriority w:val="20"/>
    <w:qFormat/>
    <w:rPr>
      <w:rFonts w:ascii="Calibri" w:hAnsi="Calibri"/>
      <w:b/>
      <w:i/>
      <w:iCs/>
    </w:rPr>
  </w:style>
  <w:style w:type="paragraph" w:styleId="893">
    <w:name w:val="Абзац списка"/>
    <w:basedOn w:val="862"/>
    <w:next w:val="893"/>
    <w:link w:val="862"/>
    <w:uiPriority w:val="34"/>
    <w:qFormat/>
    <w:pPr>
      <w:contextualSpacing/>
      <w:ind w:left="720"/>
    </w:pPr>
  </w:style>
  <w:style w:type="paragraph" w:styleId="894">
    <w:name w:val="Цитата 2"/>
    <w:basedOn w:val="862"/>
    <w:next w:val="862"/>
    <w:link w:val="895"/>
    <w:uiPriority w:val="29"/>
    <w:qFormat/>
    <w:rPr>
      <w:i/>
    </w:rPr>
  </w:style>
  <w:style w:type="character" w:styleId="895">
    <w:name w:val="Цитата 2 Знак"/>
    <w:next w:val="895"/>
    <w:link w:val="894"/>
    <w:uiPriority w:val="29"/>
    <w:rPr>
      <w:i/>
      <w:sz w:val="24"/>
      <w:szCs w:val="24"/>
    </w:rPr>
  </w:style>
  <w:style w:type="paragraph" w:styleId="896">
    <w:name w:val="Выделенная цитата"/>
    <w:basedOn w:val="862"/>
    <w:next w:val="862"/>
    <w:link w:val="897"/>
    <w:uiPriority w:val="30"/>
    <w:qFormat/>
    <w:pPr>
      <w:ind w:left="720" w:right="720"/>
    </w:pPr>
    <w:rPr>
      <w:b/>
      <w:i/>
      <w:szCs w:val="22"/>
    </w:rPr>
  </w:style>
  <w:style w:type="character" w:styleId="897">
    <w:name w:val="Выделенная цитата Знак"/>
    <w:next w:val="897"/>
    <w:link w:val="896"/>
    <w:uiPriority w:val="30"/>
    <w:rPr>
      <w:b/>
      <w:i/>
      <w:sz w:val="24"/>
    </w:rPr>
  </w:style>
  <w:style w:type="character" w:styleId="898">
    <w:name w:val="Слабое выделение"/>
    <w:next w:val="898"/>
    <w:link w:val="862"/>
    <w:uiPriority w:val="19"/>
    <w:qFormat/>
    <w:rPr>
      <w:i/>
      <w:color w:val="5a5a5a"/>
    </w:rPr>
  </w:style>
  <w:style w:type="character" w:styleId="899">
    <w:name w:val="Сильное выделение"/>
    <w:next w:val="899"/>
    <w:link w:val="862"/>
    <w:uiPriority w:val="21"/>
    <w:qFormat/>
    <w:rPr>
      <w:b/>
      <w:i/>
      <w:sz w:val="24"/>
      <w:szCs w:val="24"/>
      <w:u w:val="single"/>
    </w:rPr>
  </w:style>
  <w:style w:type="character" w:styleId="900">
    <w:name w:val="Слабая ссылка"/>
    <w:next w:val="900"/>
    <w:link w:val="862"/>
    <w:uiPriority w:val="31"/>
    <w:qFormat/>
    <w:rPr>
      <w:sz w:val="24"/>
      <w:szCs w:val="24"/>
      <w:u w:val="single"/>
    </w:rPr>
  </w:style>
  <w:style w:type="character" w:styleId="901">
    <w:name w:val="Сильная ссылка"/>
    <w:next w:val="901"/>
    <w:link w:val="862"/>
    <w:uiPriority w:val="32"/>
    <w:qFormat/>
    <w:rPr>
      <w:b/>
      <w:sz w:val="24"/>
      <w:u w:val="single"/>
    </w:rPr>
  </w:style>
  <w:style w:type="character" w:styleId="902">
    <w:name w:val="Название книги"/>
    <w:next w:val="902"/>
    <w:link w:val="862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903">
    <w:name w:val="Заголовок оглавления"/>
    <w:basedOn w:val="863"/>
    <w:next w:val="862"/>
    <w:link w:val="862"/>
    <w:uiPriority w:val="39"/>
    <w:semiHidden/>
    <w:unhideWhenUsed/>
    <w:qFormat/>
    <w:pPr>
      <w:outlineLvl w:val="9"/>
    </w:pPr>
    <w:rPr>
      <w:rFonts w:ascii="Cambria" w:hAnsi="Cambria" w:eastAsia="Times New Roman"/>
    </w:rPr>
  </w:style>
  <w:style w:type="paragraph" w:styleId="904">
    <w:name w:val="ConsPlusNormal"/>
    <w:next w:val="904"/>
    <w:link w:val="862"/>
    <w:pPr>
      <w:widowControl w:val="off"/>
    </w:pPr>
    <w:rPr>
      <w:rFonts w:cs="Calibri"/>
      <w:sz w:val="22"/>
      <w:lang w:val="ru-RU" w:eastAsia="ru-RU" w:bidi="ar-SA"/>
    </w:rPr>
  </w:style>
  <w:style w:type="paragraph" w:styleId="905">
    <w:name w:val="Верхний колонтитул"/>
    <w:basedOn w:val="862"/>
    <w:next w:val="905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6">
    <w:name w:val="Верхний колонтитул Знак"/>
    <w:next w:val="906"/>
    <w:link w:val="905"/>
    <w:uiPriority w:val="99"/>
    <w:rPr>
      <w:rFonts w:ascii="Times New Roman" w:hAnsi="Times New Roman"/>
      <w:sz w:val="28"/>
      <w:szCs w:val="24"/>
    </w:rPr>
  </w:style>
  <w:style w:type="paragraph" w:styleId="907">
    <w:name w:val="Нижний колонтитул"/>
    <w:basedOn w:val="862"/>
    <w:next w:val="907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>
    <w:name w:val="Нижний колонтитул Знак"/>
    <w:next w:val="908"/>
    <w:link w:val="907"/>
    <w:uiPriority w:val="99"/>
    <w:rPr>
      <w:rFonts w:ascii="Times New Roman" w:hAnsi="Times New Roman"/>
      <w:sz w:val="28"/>
      <w:szCs w:val="24"/>
    </w:rPr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7</cp:revision>
  <dcterms:created xsi:type="dcterms:W3CDTF">2020-11-04T23:39:00Z</dcterms:created>
  <dcterms:modified xsi:type="dcterms:W3CDTF">2023-11-13T00:16:05Z</dcterms:modified>
  <cp:version>983040</cp:version>
</cp:coreProperties>
</file>